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6F571" w14:textId="23C2207E" w:rsidR="00EB435F" w:rsidRPr="00EB435F" w:rsidRDefault="00EB435F" w:rsidP="00EB435F">
      <w:pPr>
        <w:pStyle w:val="a3"/>
        <w:spacing w:before="0" w:beforeAutospacing="0" w:after="0" w:afterAutospacing="0"/>
        <w:jc w:val="center"/>
      </w:pPr>
      <w:r w:rsidRPr="00EB435F">
        <w:rPr>
          <w:rFonts w:eastAsia="Calibri"/>
          <w:color w:val="000000" w:themeColor="text1"/>
          <w:kern w:val="24"/>
        </w:rPr>
        <w:t>Краевое государственное казённое учреждение, реализующее адаптированные основные общеобразовательные программы «Школа-интернат № 14»</w:t>
      </w:r>
    </w:p>
    <w:p w14:paraId="3142CCBA" w14:textId="6965398D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6B5DC47A" w14:textId="07477436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5B41E0B5" w14:textId="0956563A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503693B6" w14:textId="58CD8023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5EB9A271" w14:textId="1299C031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2F6EC3EF" w14:textId="475F8123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35EA0956" w14:textId="6E74F81D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185F6281" w14:textId="1E52ACFB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64C2E2E9" w14:textId="2387FAA9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32A7DC18" w14:textId="35C2BC6F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0AC3ACAB" w14:textId="77777777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35EF4043" w14:textId="77777777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140242A0" w14:textId="77777777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  <w:r w:rsidRPr="00EB435F"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  <w:t xml:space="preserve">Разработка программы </w:t>
      </w:r>
    </w:p>
    <w:p w14:paraId="61A2ADBB" w14:textId="0FC3D465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  <w:r w:rsidRPr="00EB435F"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  <w:t>реабилитации или абилитации ребенка-инвалида</w:t>
      </w:r>
    </w:p>
    <w:p w14:paraId="66B7E9FA" w14:textId="3897FA02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395EDE91" w14:textId="078D313A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4EA63BA9" w14:textId="5A4BA812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237BA70A" w14:textId="59C3DEB5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4A43A8CF" w14:textId="20AFEBFC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17FCF3C6" w14:textId="5E20A282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25073C2E" w14:textId="219C7A38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0B097117" w14:textId="0444426C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49B4CC27" w14:textId="3808C05F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42C8CBF0" w14:textId="2C447E58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5AAFCCBC" w14:textId="254E2F2D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437493E2" w14:textId="6A5A2A54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2016C191" w14:textId="240CA47B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140EBD21" w14:textId="147A688B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37094FE6" w14:textId="7B4AF541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05AFC27E" w14:textId="7FA08788" w:rsidR="00EB435F" w:rsidRDefault="00EB435F" w:rsidP="00BC1A02">
      <w:pPr>
        <w:spacing w:after="0" w:line="240" w:lineRule="auto"/>
        <w:jc w:val="right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1B1AF09E" w14:textId="738D979D" w:rsidR="00EB435F" w:rsidRDefault="00EB435F" w:rsidP="00EB435F">
      <w:pPr>
        <w:spacing w:after="0" w:line="240" w:lineRule="auto"/>
        <w:jc w:val="center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19FE6769" w14:textId="7B7E8A54" w:rsidR="00EB435F" w:rsidRPr="00EB435F" w:rsidRDefault="00EB435F" w:rsidP="00BC1A02">
      <w:pPr>
        <w:spacing w:after="0" w:line="240" w:lineRule="auto"/>
        <w:jc w:val="right"/>
        <w:rPr>
          <w:rFonts w:ascii="Times New Roman" w:eastAsiaTheme="majorEastAsia" w:hAnsi="Times New Roman" w:cs="Times New Roman"/>
          <w:caps/>
          <w:color w:val="000000" w:themeColor="text1"/>
          <w:kern w:val="24"/>
          <w:position w:val="1"/>
          <w:sz w:val="28"/>
          <w:szCs w:val="28"/>
        </w:rPr>
      </w:pPr>
    </w:p>
    <w:p w14:paraId="03B588F8" w14:textId="77777777" w:rsidR="00EB435F" w:rsidRPr="00EB435F" w:rsidRDefault="00EB435F" w:rsidP="00EB4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14:paraId="160613B6" w14:textId="77777777" w:rsidR="00BC1A02" w:rsidRDefault="00BC1A02" w:rsidP="00BC1A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1A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Подготовила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О. И. Буркова, </w:t>
      </w:r>
    </w:p>
    <w:p w14:paraId="32C48236" w14:textId="022EF979" w:rsidR="00BC1A02" w:rsidRDefault="00BC1A02" w:rsidP="00BC1A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учитель-логопед</w:t>
      </w:r>
    </w:p>
    <w:p w14:paraId="5F254DF4" w14:textId="352C6FEC" w:rsidR="00BC1A02" w:rsidRDefault="00BC1A02" w:rsidP="00BC1A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CE78E5" w14:textId="00009999" w:rsidR="00BC1A02" w:rsidRDefault="00BC1A02" w:rsidP="00BC1A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2114319" w14:textId="5B47D89E" w:rsidR="00BC1A02" w:rsidRDefault="00BC1A02" w:rsidP="00BC1A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E4E1869" w14:textId="450B6D61" w:rsidR="00BC1A02" w:rsidRDefault="00BC1A02" w:rsidP="00BC1A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6FF82E" w14:textId="7C90E3A9" w:rsidR="00BC1A02" w:rsidRDefault="00BC1A02" w:rsidP="00BC1A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D7ABA43" w14:textId="46C381E0" w:rsidR="00BC1A02" w:rsidRDefault="00BC1A02" w:rsidP="00BC1A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Амурск</w:t>
      </w:r>
    </w:p>
    <w:p w14:paraId="555A4F1B" w14:textId="4E44CA8C" w:rsidR="00BC1A02" w:rsidRPr="00BC1A02" w:rsidRDefault="00BC1A02" w:rsidP="00BC1A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2022</w:t>
      </w:r>
    </w:p>
    <w:p w14:paraId="6DF63914" w14:textId="2F759F32" w:rsidR="00BC1A02" w:rsidRDefault="00BC1A02" w:rsidP="00BC1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D54D5A4" w14:textId="77777777" w:rsidR="00BC1A02" w:rsidRDefault="00BC1A02" w:rsidP="00BC1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Слайд 1</w:t>
      </w:r>
    </w:p>
    <w:p w14:paraId="614147A2" w14:textId="400A11AC" w:rsidR="00D02A4F" w:rsidRPr="00D02A4F" w:rsidRDefault="00CA25B2" w:rsidP="00BC1A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A25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Индивидуальная программа реабилитации или </w:t>
      </w:r>
      <w:proofErr w:type="spellStart"/>
      <w:r w:rsidRPr="00CA25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абилитации</w:t>
      </w:r>
      <w:proofErr w:type="spellEnd"/>
      <w:r w:rsidRPr="00CA25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ребенка-инвалида</w:t>
      </w:r>
      <w:r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(ИПРА) — это документ, в котором перечислены все медицинские, профессиональные и иные мероприятия, на которые ребенок с инвалидностью вправе рассчитывать, а также услуги и технические средства, которые он вправе получить (ст. 11 Закона о социальной защите инвалидов).</w:t>
      </w:r>
      <w:proofErr w:type="gramEnd"/>
      <w:r w:rsidR="00D02A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02A4F" w:rsidRPr="00D02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Индивидуальная программа реабилитации или </w:t>
      </w:r>
      <w:proofErr w:type="spellStart"/>
      <w:r w:rsidR="00D02A4F" w:rsidRPr="00D02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абилитации</w:t>
      </w:r>
      <w:proofErr w:type="spellEnd"/>
      <w:r w:rsidR="00D02A4F" w:rsidRPr="00D02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ребенка-инвалида</w:t>
      </w:r>
    </w:p>
    <w:p w14:paraId="7D6C6C18" w14:textId="63E1CE7D" w:rsidR="00CA25B2" w:rsidRPr="00D02A4F" w:rsidRDefault="00D02A4F" w:rsidP="00D02A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2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ется</w:t>
      </w:r>
      <w:r w:rsidRPr="00D02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государственными федеральными учреждениями </w:t>
      </w:r>
      <w:proofErr w:type="gramStart"/>
      <w:r w:rsidRPr="00D02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медико-социальной</w:t>
      </w:r>
      <w:proofErr w:type="gramEnd"/>
      <w:r w:rsidRPr="00D02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экспертизы</w:t>
      </w:r>
      <w:r w:rsidR="003052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F55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Инвалидность ребенку устанавливается на разные сроки: 1 год, 2 года либо до 18 лет, это зависит от степени тяжести заболевания, </w:t>
      </w:r>
      <w:r w:rsidR="00EB43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которого устанавливается инвалидность. </w:t>
      </w:r>
    </w:p>
    <w:p w14:paraId="1C9DF9D5" w14:textId="0C76C137" w:rsidR="00CA25B2" w:rsidRPr="00CA25B2" w:rsidRDefault="00CA25B2" w:rsidP="00CA25B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Разработка ИПРА ребенка-инвалида регламентируется следующими документами:</w:t>
      </w:r>
    </w:p>
    <w:p w14:paraId="42DF198C" w14:textId="5BAF97E8" w:rsidR="00CA25B2" w:rsidRDefault="00CA25B2" w:rsidP="00CA25B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 Минтруда и социальной защиты РФ от 15.10.2015 г. № 723</w:t>
      </w:r>
      <w:r w:rsidR="00D02A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7A6392AB" w14:textId="1DF58639" w:rsidR="00D02A4F" w:rsidRDefault="00D02A4F" w:rsidP="00D02A4F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Приказ </w:t>
      </w:r>
      <w:proofErr w:type="spellStart"/>
      <w:r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Минобрнауки</w:t>
      </w:r>
      <w:proofErr w:type="spellEnd"/>
      <w:r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РФ от 09.11.2015 г. № 1309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1499E0FD" w14:textId="78F84EAF" w:rsidR="00D02A4F" w:rsidRPr="00CA25B2" w:rsidRDefault="00D02A4F" w:rsidP="00CA25B2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 Минтруда и социальной защиты РФ от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13.06.2017 г. № 486н.</w:t>
      </w:r>
    </w:p>
    <w:p w14:paraId="031C85EB" w14:textId="78069F5E" w:rsidR="00BC1A02" w:rsidRPr="00BC1A02" w:rsidRDefault="00BC1A02" w:rsidP="003052AA">
      <w:pPr>
        <w:shd w:val="clear" w:color="auto" w:fill="FFFFFF"/>
        <w:spacing w:after="0" w:line="33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C1A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ы</w:t>
      </w:r>
      <w:r w:rsidRPr="00BC1A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- 5</w:t>
      </w:r>
    </w:p>
    <w:p w14:paraId="5028EC89" w14:textId="23DB30B1" w:rsidR="003052AA" w:rsidRDefault="006F57B2" w:rsidP="003052AA">
      <w:pPr>
        <w:shd w:val="clear" w:color="auto" w:fill="FFFFFF"/>
        <w:spacing w:after="0" w:line="330" w:lineRule="atLeast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разработке плана мероприятий по реализации ИПРА необходимо руководствоваться Выпиской из ИПРА конкретного ребенка.</w:t>
      </w:r>
      <w:r>
        <w:rPr>
          <w:rFonts w:ascii="Times New Roman" w:hAnsi="Times New Roman" w:cs="Times New Roman"/>
          <w:sz w:val="28"/>
          <w:szCs w:val="28"/>
        </w:rPr>
        <w:t xml:space="preserve"> В этом документе</w:t>
      </w:r>
      <w:r w:rsidR="00CA25B2"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нас интересу</w:t>
      </w:r>
      <w:r w:rsidR="00D02A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CA25B2"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раздел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11</w:t>
      </w:r>
      <w:r w:rsidR="00CA25B2"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12</w:t>
      </w:r>
      <w:r w:rsidR="00CA25B2"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касающи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CA25B2" w:rsidRPr="00CA25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ся мероприятий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предусмотренных ИПРА ребенка-инвалида, и видов помощи в преодолении барьеров, мешающих получению услуг, наравне с другими лицами</w:t>
      </w:r>
      <w:r w:rsidR="00CA25B2" w:rsidRPr="00CA25B2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Планируются только те направления разделов, в которых отмечена нуждаемость ребенка. </w:t>
      </w:r>
      <w:r w:rsidR="00D02A4F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В образовательной организации разработкой Плана мероприятий занимается сотрудник, на которого возложены эти обязанности. При заполнении разделов необходимо руководствоваться учебным планом конкретного класса либо индивидуальным учебным планом при обучении на дому.</w:t>
      </w:r>
      <w:r w:rsidR="003052AA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Срок составления Плана мероприятий – </w:t>
      </w:r>
      <w:r w:rsidR="00F65190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5 дней. После этого с Планом знакомят родителей под подпись.</w:t>
      </w:r>
      <w:bookmarkStart w:id="0" w:name="_GoBack"/>
      <w:bookmarkEnd w:id="0"/>
    </w:p>
    <w:p w14:paraId="3FFF8AA4" w14:textId="07F38123" w:rsidR="003052AA" w:rsidRDefault="003052AA" w:rsidP="003052AA">
      <w:pPr>
        <w:shd w:val="clear" w:color="auto" w:fill="FFFFFF"/>
        <w:spacing w:after="0" w:line="330" w:lineRule="atLeast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За месяц до окончания срока, на который установлена инвалидность, краевым образовательным организациям необходимо отправить отчет об исполнении плана мероприятий по реализации ИПРА на электронную почту специалиста </w:t>
      </w:r>
      <w:proofErr w:type="spellStart"/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Хабаровского края, указанного в выписке. Муниципальные образовательные организации данный отчет предоставляют ответственному специалисту ИМЦ. В разделе «Результат выполнения» ответственные за его выполнение ставят дату и расписываются. </w:t>
      </w:r>
      <w:r w:rsidR="00EB435F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При установлении инвалидности на длительный срок (более 1 года) каждый год составляются промежуточные отчеты.</w:t>
      </w:r>
    </w:p>
    <w:p w14:paraId="37B179D5" w14:textId="693C9E02" w:rsidR="003052AA" w:rsidRDefault="003052AA" w:rsidP="003052AA">
      <w:pPr>
        <w:shd w:val="clear" w:color="auto" w:fill="FFFFFF"/>
        <w:spacing w:after="0" w:line="330" w:lineRule="atLeast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Родителям (законным представителям) ребенка-инвалида образовательная организация в те же сроки предоставляет </w:t>
      </w:r>
      <w:r w:rsidR="002F550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психолого-педагогическую характеристику ребенка-инвалида на специальном бланке. Кроме этого, нужно </w:t>
      </w:r>
      <w:proofErr w:type="gramStart"/>
      <w:r w:rsidR="002F550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предоставить Логопедическое заключение</w:t>
      </w:r>
      <w:proofErr w:type="gramEnd"/>
      <w:r w:rsidR="002F550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на МСЭ и другие документы (список в организациях есть). </w:t>
      </w:r>
    </w:p>
    <w:p w14:paraId="2CE4430B" w14:textId="497698B5" w:rsidR="003052AA" w:rsidRPr="003052AA" w:rsidRDefault="003052AA" w:rsidP="003052AA">
      <w:pPr>
        <w:shd w:val="clear" w:color="auto" w:fill="FFFFFF"/>
        <w:spacing w:after="0" w:line="330" w:lineRule="atLeast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sectPr w:rsidR="003052AA" w:rsidRPr="00305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B2"/>
    <w:rsid w:val="000D78EC"/>
    <w:rsid w:val="002F5505"/>
    <w:rsid w:val="003052AA"/>
    <w:rsid w:val="003C6393"/>
    <w:rsid w:val="006F57B2"/>
    <w:rsid w:val="00BC1A02"/>
    <w:rsid w:val="00CA25B2"/>
    <w:rsid w:val="00D02A4F"/>
    <w:rsid w:val="00EB435F"/>
    <w:rsid w:val="00F6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8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215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5E514-8AB2-44B4-9344-FE455C00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Буркова</dc:creator>
  <cp:keywords/>
  <dc:description/>
  <cp:lastModifiedBy>1</cp:lastModifiedBy>
  <cp:revision>3</cp:revision>
  <cp:lastPrinted>2022-12-08T22:32:00Z</cp:lastPrinted>
  <dcterms:created xsi:type="dcterms:W3CDTF">2022-12-08T12:31:00Z</dcterms:created>
  <dcterms:modified xsi:type="dcterms:W3CDTF">2022-12-09T00:28:00Z</dcterms:modified>
</cp:coreProperties>
</file>